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1D" w:rsidRPr="00A04F1D" w:rsidRDefault="00A04F1D" w:rsidP="00A04F1D">
      <w:pPr>
        <w:pStyle w:val="ConsPlusNormal"/>
        <w:spacing w:before="220"/>
        <w:jc w:val="both"/>
        <w:rPr>
          <w:b/>
        </w:rPr>
      </w:pPr>
      <w:r w:rsidRPr="00A04F1D">
        <w:rPr>
          <w:b/>
        </w:rPr>
        <w:t>3. Уровень знания русского языка, достаточный для освоения образовательных программ начального общего образования, для поступающих в 3 класс определяется умениями: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3.1. Слушание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Понимать на слух монологическое высказывание объемом 3 - 4 предложения, описывающее ситуацию социально-бытового характера.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Понимать прослушанный художественный текст объемом не более 40 - 45 слов, отвечать на вопросы (не менее 3) по содержанию текста.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3.2. Говорение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Строить устное монологическое высказывание (2 - 3 предложения) на тему, связанную с ситуациями социально-бытового общения.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Устно пересказывать прослушанный текст (объем исходного текста 40 - 45 слов) с соблюдением последовательности событий.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3.3. Чтение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Читать вслух текст объемом не более 40 - 45 слов с соблюдением интонации в соответствии со знаками препинания в конце предложения.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Понимать содержание прочитанного текста, отвечать на вопросы (не менее 3) по содержанию текста.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Определять тему текста и озаглавливать текст, отражая его тему.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3.4. Письмо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Письменно составлять текст из предложений, частей текста.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предложении; знаки препинания в конце предложения; прописная буква в начале предложения, в именах и фамилиях людей, кличках животных.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3.5. Лексика. Грамматика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Выявлять в тексте многозначные слова, синонимы и антонимы (простые случаи, без называния терминов).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Находить в ряду слов однокоренные слова.</w:t>
      </w:r>
    </w:p>
    <w:p w:rsidR="00A04F1D" w:rsidRDefault="00A04F1D" w:rsidP="00A04F1D">
      <w:pPr>
        <w:pStyle w:val="ConsPlusNormal"/>
        <w:spacing w:before="220"/>
        <w:ind w:firstLine="540"/>
        <w:jc w:val="both"/>
      </w:pPr>
      <w:r>
        <w:t>Распознавать слова, отвечающие на вопросы "кто?", "что?"; "какой?", "какая?", "какое?", "какие?"; "что делать?", "что сделать?".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04F1D"/>
    <w:rsid w:val="001E1B46"/>
    <w:rsid w:val="00285B2B"/>
    <w:rsid w:val="002B370B"/>
    <w:rsid w:val="0044427A"/>
    <w:rsid w:val="008053E1"/>
    <w:rsid w:val="00A04F1D"/>
    <w:rsid w:val="00A237CE"/>
    <w:rsid w:val="00D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F1D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2025-03-17T20:30:00Z</dcterms:created>
  <dcterms:modified xsi:type="dcterms:W3CDTF">2025-03-17T20:31:00Z</dcterms:modified>
  <dc:description>Подготовлено экспертами Группы Актион</dc:description>
</cp:coreProperties>
</file>